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d6742692a741d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21422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DRAGUTINA TADIJANOVIĆA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2.546.058,58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2.984.389,65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2.543.163,62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3.184.180,14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199.790,49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19.411,17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15.863,79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219.201,66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1381,8</w:t>
            </w:r>
          </w:p>
        </w:tc>
      </w:tr>
    </w:tbl>
    <w:p>
      <w:pPr>
        <w:spacing w:before="0" w:after="0"/>
      </w:pPr>
    </w:p>
    <w:p>
      <w:r>
        <w:t xml:space="preserve">2025. godinu završavamo sa manjkom prihoda jer su rashodi za plaću za 12/2025 knjiženi sa 31.12.2025. a prihodi će biti u 1. mjesecu 2026. godine. Prikazan je i manjak prihoda od nefinancijske imovine u iznosu od 19.411,17 eura. Knjižena je korekcija rezultata, kapitalni prijenosi prema izvorima financiranja, sa kojom je pokriven manjak od nefinancijske imovine. Iznos korekcije za preneseni manjak od nefinancijske imovine je 13.925,36 eura i iz 2025. iznos od 3.973,63 eura.</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obveza nemamo.</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Školi je partner u projektu Erasmus+, Europski dom Vukovar. Provedena su knjiženja prema uputi iz okružnice. Proknjižena je korekcija rezultata, viška prihoda iz 2024. i sada su ta sredstva na obvezama. Priznati su prihodi nakon prvog odobrenog ZNS-a. u iznosu od 2.440,00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8b613aed91c4197" /></Relationships>
</file>